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pacing w:before="240" w:after="283"/>
        <w:rPr/>
      </w:pPr>
      <w:r>
        <w:rPr/>
        <w:t>Письмо Минтруда России №18-2/10/2-1490 от 19 марта 2013 г.</w:t>
      </w:r>
    </w:p>
    <w:p>
      <w:pPr>
        <w:pStyle w:val="Heading2"/>
        <w:rPr/>
      </w:pPr>
      <w:r>
        <w:rPr/>
        <w:t>«Комплекс мер, направленных на привлечение государственных и муниципальных служащих к противодействию коррупции»</w:t>
      </w:r>
    </w:p>
    <w:p>
      <w:pPr>
        <w:pStyle w:val="TextBody"/>
        <w:rPr/>
      </w:pPr>
      <w:r>
        <w:rPr>
          <w:rStyle w:val="StrongEmphasis"/>
        </w:rPr>
        <w:t>I. Организация антикоррупционной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p>
      <w:pPr>
        <w:pStyle w:val="TextBody"/>
        <w:rPr/>
      </w:pPr>
      <w:r>
        <w:rPr/>
        <w:t>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контроль за соблюдением антикоррупционных мер.</w:t>
      </w:r>
    </w:p>
    <w:p>
      <w:pPr>
        <w:pStyle w:val="TextBody"/>
        <w:rPr/>
      </w:pPr>
      <w:r>
        <w:rPr/>
        <w:t>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антикоррупционного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правоприменителя и может различаться.</w:t>
      </w:r>
    </w:p>
    <w:p>
      <w:pPr>
        <w:pStyle w:val="TextBody"/>
        <w:rPr/>
      </w:pPr>
      <w:r>
        <w:rPr/>
        <w:t>Для стимулирования активности в данной деятельности в Национальном плане противодействия коррупции на 2012-2013 годы, утвержденном Указом Президента Российской Федерации от 13 марта 2012 г. №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 направленности. Реализацию мероприятий, направленных на противодействие коррупции, необходимо осуществлять систематически на плановой основе.</w:t>
      </w:r>
    </w:p>
    <w:p>
      <w:pPr>
        <w:pStyle w:val="TextBody"/>
        <w:rPr/>
      </w:pPr>
      <w:r>
        <w:rPr/>
        <w:t>В целях обеспечения единого подхода к организации антикоррупционной деятельности в федеральных органах исполнительной власти на заседании Правительственной комиссии по проведению административной реформы 15 июня 2012 г.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pPr>
        <w:pStyle w:val="TextBody"/>
        <w:rPr/>
      </w:pPr>
      <w:r>
        <w:rPr/>
        <w:t>Деятельность остальных федеральных государственных органов планируется с учетом положений Национальной стратегии противодействия коррупции, утвержденной Указом Президента Российской Федерации от 13 апреля 2010 г. № 460, и Национального плана противодействия коррупции.</w:t>
      </w:r>
    </w:p>
    <w:p>
      <w:pPr>
        <w:pStyle w:val="TextBody"/>
        <w:rPr/>
      </w:pPr>
      <w:r>
        <w:rPr/>
        <w:t>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 связанные зачастую с неинициативным подходом к планированию и организации данной деятельности.</w:t>
      </w:r>
    </w:p>
    <w:p>
      <w:pPr>
        <w:pStyle w:val="TextBody"/>
        <w:rPr/>
      </w:pPr>
      <w:r>
        <w:rPr/>
        <w:t>Результаты исследования показывают, что лишь небольшая часть федеральных органов исполнительной власти занимаются самостоятельным методическим сопровождением антикоррупционной деятельности по вопросам, напрямую не предусмотренным вышеуказанными программными документами.</w:t>
      </w:r>
    </w:p>
    <w:p>
      <w:pPr>
        <w:pStyle w:val="TextBody"/>
        <w:rPr/>
      </w:pPr>
      <w:r>
        <w:rPr/>
        <w:t>Отсутствие культуры антикорупционного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pPr>
        <w:pStyle w:val="TextBody"/>
        <w:rPr/>
      </w:pPr>
      <w:r>
        <w:rPr/>
        <w:t>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pPr>
        <w:pStyle w:val="TextBody"/>
        <w:rPr/>
      </w:pPr>
      <w:r>
        <w:rPr>
          <w:rStyle w:val="StrongEmphasis"/>
        </w:rPr>
        <w:t>II. Описание мер, направленных на привлечение государственных и муниципальных служащих к противодействию коррупции</w:t>
      </w:r>
    </w:p>
    <w:p>
      <w:pPr>
        <w:pStyle w:val="TextBody"/>
        <w:rPr/>
      </w:pPr>
      <w:r>
        <w:rPr/>
        <w:t>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pPr>
        <w:pStyle w:val="TextBody"/>
        <w:numPr>
          <w:ilvl w:val="0"/>
          <w:numId w:val="1"/>
        </w:numPr>
        <w:tabs>
          <w:tab w:val="left" w:pos="0" w:leader="none"/>
        </w:tabs>
        <w:spacing w:before="0" w:after="0"/>
        <w:ind w:left="707" w:hanging="283"/>
        <w:rPr/>
      </w:pPr>
      <w:r>
        <w:rPr/>
        <w:t xml:space="preserve">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 </w:t>
      </w:r>
    </w:p>
    <w:p>
      <w:pPr>
        <w:pStyle w:val="TextBody"/>
        <w:numPr>
          <w:ilvl w:val="0"/>
          <w:numId w:val="1"/>
        </w:numPr>
        <w:tabs>
          <w:tab w:val="left" w:pos="0" w:leader="none"/>
        </w:tabs>
        <w:spacing w:before="0" w:after="0"/>
        <w:ind w:left="707" w:hanging="283"/>
        <w:rPr/>
      </w:pPr>
      <w:r>
        <w:rPr/>
        <w:t xml:space="preserve">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 </w:t>
      </w:r>
    </w:p>
    <w:p>
      <w:pPr>
        <w:pStyle w:val="TextBody"/>
        <w:numPr>
          <w:ilvl w:val="0"/>
          <w:numId w:val="1"/>
        </w:numPr>
        <w:tabs>
          <w:tab w:val="left" w:pos="0" w:leader="none"/>
        </w:tabs>
        <w:spacing w:before="0" w:after="0"/>
        <w:ind w:left="707" w:hanging="283"/>
        <w:rPr/>
      </w:pPr>
      <w:r>
        <w:rPr/>
        <w:t xml:space="preserve">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 </w:t>
      </w:r>
    </w:p>
    <w:p>
      <w:pPr>
        <w:pStyle w:val="TextBody"/>
        <w:numPr>
          <w:ilvl w:val="0"/>
          <w:numId w:val="1"/>
        </w:numPr>
        <w:tabs>
          <w:tab w:val="left" w:pos="0" w:leader="none"/>
        </w:tabs>
        <w:ind w:left="707" w:hanging="283"/>
        <w:rPr/>
      </w:pPr>
      <w:r>
        <w:rPr/>
        <w:t xml:space="preserve">просвещение государственных и муниципальных служащих по вопросам антикоррупционной тематики и методическое обеспечение их профессиональной служебной деятельности. </w:t>
      </w:r>
    </w:p>
    <w:p>
      <w:pPr>
        <w:pStyle w:val="TextBody"/>
        <w:rPr/>
      </w:pPr>
      <w:r>
        <w:rPr/>
        <w:t>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pPr>
        <w:pStyle w:val="TextBody"/>
        <w:rPr/>
      </w:pPr>
      <w:r>
        <w:rPr/>
        <w:t>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pPr>
        <w:pStyle w:val="TextBody"/>
        <w:rPr/>
      </w:pPr>
      <w:r>
        <w:rPr/>
        <w:t>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pPr>
        <w:pStyle w:val="TextBody"/>
        <w:rPr/>
      </w:pPr>
      <w:r>
        <w:rPr/>
        <w:t>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pPr>
        <w:pStyle w:val="TextBody"/>
        <w:rPr/>
      </w:pPr>
      <w:r>
        <w:rPr/>
        <w:t>Рекомендуется не реже одного раза в год проводить обсуждения практики применения антикоррупционного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w:t>
      </w:r>
    </w:p>
    <w:p>
      <w:pPr>
        <w:pStyle w:val="TextBody"/>
        <w:rPr/>
      </w:pPr>
      <w:r>
        <w:rPr/>
        <w:t>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pPr>
        <w:pStyle w:val="TextBody"/>
        <w:rPr/>
      </w:pPr>
      <w:r>
        <w:rPr/>
        <w:t>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w:t>
      </w:r>
    </w:p>
    <w:p>
      <w:pPr>
        <w:pStyle w:val="TextBody"/>
        <w:rPr/>
      </w:pPr>
      <w:r>
        <w:rPr/>
        <w:t xml:space="preserve">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 </w:t>
      </w:r>
    </w:p>
    <w:p>
      <w:pPr>
        <w:pStyle w:val="TextBody"/>
        <w:rPr/>
      </w:pPr>
      <w:r>
        <w:rPr/>
        <w:t>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p>
      <w:pPr>
        <w:pStyle w:val="TextBody"/>
        <w:rPr/>
      </w:pPr>
      <w:r>
        <w:rPr/>
        <w:t>В соответствии с пунктом 8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w:t>
      </w:r>
      <w:r>
        <w:rPr>
          <w:rStyle w:val="StrongEmphasis"/>
        </w:rPr>
        <w:t xml:space="preserve"> </w:t>
      </w:r>
      <w:r>
        <w:rPr/>
        <w:t>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 Аналогичный порядок формирования комиссии предусматривается и для муниципальных служащих.</w:t>
      </w:r>
    </w:p>
    <w:p>
      <w:pPr>
        <w:pStyle w:val="TextBody"/>
        <w:rPr/>
      </w:pPr>
      <w:r>
        <w:rPr/>
        <w:t>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pPr>
        <w:pStyle w:val="TextBody"/>
        <w:rPr/>
      </w:pPr>
      <w:r>
        <w:rPr/>
        <w:t>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pPr>
        <w:pStyle w:val="TextBody"/>
        <w:rPr/>
      </w:pPr>
      <w:r>
        <w:rPr/>
        <w:t>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pPr>
        <w:pStyle w:val="TextBody"/>
        <w:rPr/>
      </w:pPr>
      <w:r>
        <w:rPr/>
        <w:t>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pPr>
        <w:pStyle w:val="TextBody"/>
        <w:numPr>
          <w:ilvl w:val="0"/>
          <w:numId w:val="2"/>
        </w:numPr>
        <w:tabs>
          <w:tab w:val="left" w:pos="0" w:leader="none"/>
        </w:tabs>
        <w:spacing w:before="0" w:after="0"/>
        <w:ind w:left="707" w:hanging="283"/>
        <w:rPr/>
      </w:pPr>
      <w:r>
        <w:rPr/>
        <w:t xml:space="preserve">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 </w:t>
      </w:r>
    </w:p>
    <w:p>
      <w:pPr>
        <w:pStyle w:val="TextBody"/>
        <w:numPr>
          <w:ilvl w:val="0"/>
          <w:numId w:val="2"/>
        </w:numPr>
        <w:tabs>
          <w:tab w:val="left" w:pos="0" w:leader="none"/>
        </w:tabs>
        <w:spacing w:before="0" w:after="0"/>
        <w:ind w:left="707" w:hanging="283"/>
        <w:rPr/>
      </w:pPr>
      <w:r>
        <w:rPr/>
        <w:t xml:space="preserve">в программах наставничества над лицами, впервые поступающими на государственную (муниципальную) службу; </w:t>
      </w:r>
    </w:p>
    <w:p>
      <w:pPr>
        <w:pStyle w:val="TextBody"/>
        <w:numPr>
          <w:ilvl w:val="0"/>
          <w:numId w:val="2"/>
        </w:numPr>
        <w:tabs>
          <w:tab w:val="left" w:pos="0" w:leader="none"/>
        </w:tabs>
        <w:spacing w:before="0" w:after="0"/>
        <w:ind w:left="707" w:hanging="283"/>
        <w:rPr/>
      </w:pPr>
      <w:r>
        <w:rPr/>
        <w:t xml:space="preserve">в подготовке типовых ситуаций конфликта интересов и иных методических материалов по профилактике коррупции; </w:t>
      </w:r>
    </w:p>
    <w:p>
      <w:pPr>
        <w:pStyle w:val="TextBody"/>
        <w:numPr>
          <w:ilvl w:val="0"/>
          <w:numId w:val="2"/>
        </w:numPr>
        <w:tabs>
          <w:tab w:val="left" w:pos="0" w:leader="none"/>
        </w:tabs>
        <w:spacing w:before="0" w:after="0"/>
        <w:ind w:left="707" w:hanging="283"/>
        <w:rPr/>
      </w:pPr>
      <w:r>
        <w:rPr/>
        <w:t xml:space="preserve">в социологических опросах, направленных на оценку восприятия антикоррупционных мер и их эффективности; </w:t>
      </w:r>
    </w:p>
    <w:p>
      <w:pPr>
        <w:pStyle w:val="TextBody"/>
        <w:numPr>
          <w:ilvl w:val="0"/>
          <w:numId w:val="2"/>
        </w:numPr>
        <w:tabs>
          <w:tab w:val="left" w:pos="0" w:leader="none"/>
        </w:tabs>
        <w:spacing w:before="0" w:after="0"/>
        <w:ind w:left="707" w:hanging="283"/>
        <w:rPr/>
      </w:pPr>
      <w:r>
        <w:rPr/>
        <w:t xml:space="preserve">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 </w:t>
      </w:r>
    </w:p>
    <w:p>
      <w:pPr>
        <w:pStyle w:val="TextBody"/>
        <w:numPr>
          <w:ilvl w:val="0"/>
          <w:numId w:val="2"/>
        </w:numPr>
        <w:tabs>
          <w:tab w:val="left" w:pos="0" w:leader="none"/>
        </w:tabs>
        <w:ind w:left="707" w:hanging="283"/>
        <w:rPr/>
      </w:pPr>
      <w:r>
        <w:rPr/>
        <w:t xml:space="preserve">в других мероприятиях такого рода. </w:t>
      </w:r>
    </w:p>
    <w:p>
      <w:pPr>
        <w:pStyle w:val="TextBody"/>
        <w:rPr/>
      </w:pPr>
      <w:r>
        <w:rPr/>
        <w:t>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pPr>
        <w:pStyle w:val="TextBody"/>
        <w:rPr/>
      </w:pPr>
      <w:r>
        <w:rPr/>
        <w:t>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pPr>
        <w:pStyle w:val="TextBody"/>
        <w:numPr>
          <w:ilvl w:val="0"/>
          <w:numId w:val="3"/>
        </w:numPr>
        <w:tabs>
          <w:tab w:val="left" w:pos="0" w:leader="none"/>
        </w:tabs>
        <w:spacing w:before="0" w:after="0"/>
        <w:ind w:left="707" w:hanging="283"/>
        <w:rPr/>
      </w:pPr>
      <w:r>
        <w:rPr/>
        <w:t xml:space="preserve">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 </w:t>
      </w:r>
    </w:p>
    <w:p>
      <w:pPr>
        <w:pStyle w:val="TextBody"/>
        <w:numPr>
          <w:ilvl w:val="0"/>
          <w:numId w:val="3"/>
        </w:numPr>
        <w:tabs>
          <w:tab w:val="left" w:pos="0" w:leader="none"/>
        </w:tabs>
        <w:spacing w:before="0" w:after="0"/>
        <w:ind w:left="707" w:hanging="283"/>
        <w:rPr/>
      </w:pPr>
      <w:r>
        <w:rPr/>
        <w:t xml:space="preserve">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 </w:t>
      </w:r>
    </w:p>
    <w:p>
      <w:pPr>
        <w:pStyle w:val="TextBody"/>
        <w:numPr>
          <w:ilvl w:val="0"/>
          <w:numId w:val="3"/>
        </w:numPr>
        <w:tabs>
          <w:tab w:val="left" w:pos="0" w:leader="none"/>
        </w:tabs>
        <w:spacing w:before="0" w:after="0"/>
        <w:ind w:left="707" w:hanging="283"/>
        <w:rPr/>
      </w:pPr>
      <w:r>
        <w:rPr/>
        <w:t xml:space="preserve">довести до сведения государственных (муниципальных) служащих, что они имеют 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 </w:t>
      </w:r>
    </w:p>
    <w:p>
      <w:pPr>
        <w:pStyle w:val="TextBody"/>
        <w:numPr>
          <w:ilvl w:val="0"/>
          <w:numId w:val="3"/>
        </w:numPr>
        <w:tabs>
          <w:tab w:val="left" w:pos="0" w:leader="none"/>
        </w:tabs>
        <w:ind w:left="707" w:hanging="283"/>
        <w:rPr/>
      </w:pPr>
      <w:r>
        <w:rPr/>
        <w:t xml:space="preserve">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 </w:t>
      </w:r>
    </w:p>
    <w:p>
      <w:pPr>
        <w:pStyle w:val="TextBody"/>
        <w:rPr/>
      </w:pPr>
      <w:r>
        <w:rPr/>
        <w:t>4. Просвещение государственных и муниципальных служащих по антикорруцпионной тематике и методическое обеспечение профессиональной служебной деятельности государственных и муниципальных служащих</w:t>
      </w:r>
    </w:p>
    <w:p>
      <w:pPr>
        <w:pStyle w:val="TextBody"/>
        <w:rPr/>
      </w:pPr>
      <w:r>
        <w:rPr/>
        <w:t>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pPr>
        <w:pStyle w:val="TextBody"/>
        <w:numPr>
          <w:ilvl w:val="0"/>
          <w:numId w:val="4"/>
        </w:numPr>
        <w:tabs>
          <w:tab w:val="left" w:pos="0" w:leader="none"/>
        </w:tabs>
        <w:spacing w:before="0" w:after="0"/>
        <w:ind w:left="707" w:hanging="283"/>
        <w:rPr/>
      </w:pPr>
      <w:r>
        <w:rPr/>
        <w:t xml:space="preserve">уголовная ответственность за дачу и получение взятки; </w:t>
      </w:r>
    </w:p>
    <w:p>
      <w:pPr>
        <w:pStyle w:val="TextBody"/>
        <w:numPr>
          <w:ilvl w:val="0"/>
          <w:numId w:val="4"/>
        </w:numPr>
        <w:tabs>
          <w:tab w:val="left" w:pos="0" w:leader="none"/>
        </w:tabs>
        <w:spacing w:before="0" w:after="0"/>
        <w:ind w:left="707" w:hanging="283"/>
        <w:rPr/>
      </w:pPr>
      <w:r>
        <w:rPr/>
        <w:t xml:space="preserve">получение подарков; </w:t>
      </w:r>
    </w:p>
    <w:p>
      <w:pPr>
        <w:pStyle w:val="TextBody"/>
        <w:numPr>
          <w:ilvl w:val="0"/>
          <w:numId w:val="4"/>
        </w:numPr>
        <w:tabs>
          <w:tab w:val="left" w:pos="0" w:leader="none"/>
        </w:tabs>
        <w:spacing w:before="0" w:after="0"/>
        <w:ind w:left="707" w:hanging="283"/>
        <w:rPr/>
      </w:pPr>
      <w:r>
        <w:rPr/>
        <w:t xml:space="preserve">урегулирование конфликта интересов; </w:t>
      </w:r>
    </w:p>
    <w:p>
      <w:pPr>
        <w:pStyle w:val="TextBody"/>
        <w:numPr>
          <w:ilvl w:val="0"/>
          <w:numId w:val="4"/>
        </w:numPr>
        <w:tabs>
          <w:tab w:val="left" w:pos="0" w:leader="none"/>
        </w:tabs>
        <w:spacing w:before="0" w:after="0"/>
        <w:ind w:left="707" w:hanging="283"/>
        <w:rPr/>
      </w:pPr>
      <w:r>
        <w:rPr/>
        <w:t xml:space="preserve">выполнение иной оплачиваемой работы; </w:t>
      </w:r>
    </w:p>
    <w:p>
      <w:pPr>
        <w:pStyle w:val="TextBody"/>
        <w:numPr>
          <w:ilvl w:val="0"/>
          <w:numId w:val="4"/>
        </w:numPr>
        <w:tabs>
          <w:tab w:val="left" w:pos="0" w:leader="none"/>
        </w:tabs>
        <w:ind w:left="707" w:hanging="283"/>
        <w:rPr/>
      </w:pPr>
      <w:r>
        <w:rPr/>
        <w:t xml:space="preserve">информирование о замеченных фактах коррупции и т.д. </w:t>
      </w:r>
    </w:p>
    <w:p>
      <w:pPr>
        <w:pStyle w:val="TextBody"/>
        <w:rPr/>
      </w:pPr>
      <w:r>
        <w:rPr/>
        <w:t>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pPr>
        <w:pStyle w:val="TextBody"/>
        <w:rPr/>
      </w:pPr>
      <w:r>
        <w:rPr/>
        <w:t>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 в общедоступном формате (например, PDF). Распространять памятки следует как в электронной, так и в печатной форме.</w:t>
      </w:r>
    </w:p>
    <w:p>
      <w:pPr>
        <w:pStyle w:val="TextBody"/>
        <w:rPr/>
      </w:pPr>
      <w:r>
        <w:rPr/>
        <w:t>Чтобы способствовать самостоятельному изучению гражданами, претендующими на замещение должностей государственной (муниципальной) службы, основ антикоррупционного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pPr>
        <w:pStyle w:val="TextBody"/>
        <w:rPr/>
      </w:pPr>
      <w:r>
        <w:rPr/>
        <w:t>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pPr>
        <w:pStyle w:val="TextBody"/>
        <w:rPr/>
      </w:pPr>
      <w:r>
        <w:rPr/>
        <w:t>Так, в частности, рекомендуется к проведению обязательный вводный семинар для граждан, 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pPr>
        <w:pStyle w:val="TextBody"/>
        <w:rPr/>
      </w:pPr>
      <w:r>
        <w:rPr/>
        <w:t>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антикоррупционного законодательства, детальному разбору отдельных наиболее сложных положений нормативных правовых актов и т.д.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антикоррупционного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pPr>
        <w:pStyle w:val="TextBody"/>
        <w:rPr/>
      </w:pPr>
      <w:r>
        <w:rPr/>
        <w:t>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pPr>
        <w:pStyle w:val="TextBody"/>
        <w:rPr/>
      </w:pPr>
      <w:r>
        <w:rPr/>
        <w:t>Беседа с государственным (муниципальным) служащими, увольняющимися с государственной (муниципальной)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pPr>
        <w:pStyle w:val="TextBody"/>
        <w:rPr/>
      </w:pPr>
      <w:r>
        <w:rPr/>
        <w:t xml:space="preserve">Одним из дополнительных инструментов реализации отдельных мероприятий, предусмотренных настоящим комплексом мер, может </w:t>
        <w:br/>
        <w:t>стать внутренний интернет-портал органа государственной власти и местного самоуправления, который возможно использовать для обеспечения обсуждения государственными (муниципальными) служащими проектов ведомственных нормативных правовых актов.</w:t>
      </w:r>
    </w:p>
    <w:p>
      <w:pPr>
        <w:pStyle w:val="TextBody"/>
        <w:rPr/>
      </w:pPr>
      <w:r>
        <w:rPr/>
        <w:t>Кроме того, на внутреннем интернет-портале возможно проведение консультаций с государственными (муниципальными) служащими по вопросам выполнения и реализации требований антикоррупционного законодательства с помощью различных процедур: в режиме он-лайн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он-лайн конференции с участием всех заинтересованных государственных (муниципальных) служащих. Также представляется целесообразным размещать на внутреннем интернет-портале разработанные ведомством формы (заявления), заполняемые государственными (муниципальными) служащими в случаях, предусмотренных антикоррупционным законодательством, методические рекомендации, памятки и разъяснения по вопросам антикоррупционной тематики.</w:t>
      </w:r>
    </w:p>
    <w:p>
      <w:pPr>
        <w:pStyle w:val="TextBody"/>
        <w:rPr/>
      </w:pPr>
      <w:r>
        <w:rPr>
          <w:rStyle w:val="StrongEmphasis"/>
        </w:rPr>
        <w:t>III. Перечень мер, направленных на привлечение государственных и муниципальных служащих к противодействию коррупции</w:t>
      </w:r>
    </w:p>
    <w:tbl>
      <w:tblPr>
        <w:tblW w:w="10205" w:type="dxa"/>
        <w:jc w:val="left"/>
        <w:tblInd w:w="28" w:type="dxa"/>
        <w:tblBorders>
          <w:top w:val="single" w:sz="6" w:space="0" w:color="808080"/>
          <w:left w:val="single" w:sz="6" w:space="0" w:color="808080"/>
          <w:bottom w:val="single" w:sz="2" w:space="0" w:color="808080"/>
          <w:right w:val="single" w:sz="6" w:space="0" w:color="808080"/>
          <w:insideH w:val="single" w:sz="2" w:space="0" w:color="808080"/>
          <w:insideV w:val="single" w:sz="6" w:space="0" w:color="808080"/>
        </w:tblBorders>
        <w:tblCellMar>
          <w:top w:w="28" w:type="dxa"/>
          <w:left w:w="20" w:type="dxa"/>
          <w:bottom w:w="28" w:type="dxa"/>
          <w:right w:w="28" w:type="dxa"/>
        </w:tblCellMar>
      </w:tblPr>
      <w:tblGrid>
        <w:gridCol w:w="227"/>
        <w:gridCol w:w="9978"/>
      </w:tblGrid>
      <w:tr>
        <w:trPr/>
        <w:tc>
          <w:tcPr>
            <w:tcW w:w="10205" w:type="dxa"/>
            <w:gridSpan w:val="2"/>
            <w:tcBorders>
              <w:top w:val="single" w:sz="6" w:space="0" w:color="808080"/>
              <w:left w:val="single" w:sz="6" w:space="0" w:color="808080"/>
              <w:bottom w:val="single" w:sz="2" w:space="0" w:color="808080"/>
              <w:right w:val="single" w:sz="6" w:space="0" w:color="808080"/>
              <w:insideH w:val="single" w:sz="2" w:space="0" w:color="808080"/>
              <w:insideV w:val="single" w:sz="6" w:space="0" w:color="808080"/>
            </w:tcBorders>
            <w:shd w:fill="auto" w:val="clear"/>
            <w:tcMar>
              <w:left w:w="20" w:type="dxa"/>
            </w:tcMar>
            <w:vAlign w:val="center"/>
          </w:tcPr>
          <w:p>
            <w:pPr>
              <w:pStyle w:val="TableContents"/>
              <w:jc w:val="center"/>
              <w:rPr/>
            </w:pPr>
            <w:r>
              <w:rPr>
                <w:rStyle w:val="StrongEmphasis"/>
              </w:rPr>
              <w:t xml:space="preserve">I. Привлечение государственных и муниципальных служащих к участию в обсуждении и разработке </w:t>
            </w:r>
          </w:p>
          <w:p>
            <w:pPr>
              <w:pStyle w:val="TableContents"/>
              <w:spacing w:before="0" w:after="283"/>
              <w:jc w:val="center"/>
              <w:rPr/>
            </w:pPr>
            <w:r>
              <w:rPr>
                <w:rStyle w:val="StrongEmphasis"/>
              </w:rPr>
              <w:t>нормативных правовых актов по вопросам противодействия коррупции</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1.</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Информирование государственных муниципальных служащих о возможности участия в подготовке проектов актов по вопросам противодействия коррупции и проведение при необходимости рабочих встреч (серии встреч), заседаний коллегий, соответствующих комиссий, офицерских собраний с участием представителей структурных подразделений государственных (муниципальных) органов в целях организации обсуждения полученных предложений государственных (муниципальных) служащих по проектам актов.</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2.</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Проведение не реже одного раза в год обсуждений практики применения антикоррупционного законодательства с государственными (муниципальными) служащими органа государственной власти и местного самоуправления.</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3.</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Уведомление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w:t>
            </w:r>
          </w:p>
        </w:tc>
      </w:tr>
      <w:tr>
        <w:trPr/>
        <w:tc>
          <w:tcPr>
            <w:tcW w:w="10205" w:type="dxa"/>
            <w:gridSpan w:val="2"/>
            <w:tcBorders>
              <w:left w:val="single" w:sz="6" w:space="0" w:color="808080"/>
              <w:bottom w:val="single" w:sz="2" w:space="0" w:color="808080"/>
              <w:right w:val="single" w:sz="6" w:space="0" w:color="808080"/>
              <w:insideH w:val="single" w:sz="2" w:space="0" w:color="808080"/>
              <w:insideV w:val="single" w:sz="6" w:space="0" w:color="808080"/>
            </w:tcBorders>
            <w:shd w:fill="auto" w:val="clear"/>
            <w:tcMar>
              <w:left w:w="20" w:type="dxa"/>
            </w:tcMar>
            <w:vAlign w:val="center"/>
          </w:tcPr>
          <w:p>
            <w:pPr>
              <w:pStyle w:val="TableContents"/>
              <w:spacing w:before="0" w:after="283"/>
              <w:jc w:val="center"/>
              <w:rPr/>
            </w:pPr>
            <w:r>
              <w:rPr>
                <w:rStyle w:val="StrongEmphasis"/>
              </w:rPr>
              <w:t>II. Активизация участия государственных и муниципальных служащих в работе структурных подразделений по профилактике коррупционных и иных правонарушений, а также комиссий по соблюдению требований к служебному поведению и урегулированию конфликта интересов, аттестационных комиссий</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1.</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Привлечение к участию в работе комиссии по соблюдению требований к служебному поведению и урегулированию конфликта интересов государственных (муниципальных) служащих представителей структурных подразделений органа государственной власти и местного самоуправления.</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2.</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Организация регулярной ротации,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 xml:space="preserve">3. </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Информирование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tc>
      </w:tr>
      <w:tr>
        <w:trPr/>
        <w:tc>
          <w:tcPr>
            <w:tcW w:w="10205" w:type="dxa"/>
            <w:gridSpan w:val="2"/>
            <w:tcBorders>
              <w:left w:val="single" w:sz="6" w:space="0" w:color="808080"/>
              <w:bottom w:val="single" w:sz="2" w:space="0" w:color="808080"/>
              <w:right w:val="single" w:sz="6" w:space="0" w:color="808080"/>
              <w:insideH w:val="single" w:sz="2" w:space="0" w:color="808080"/>
              <w:insideV w:val="single" w:sz="6" w:space="0" w:color="808080"/>
            </w:tcBorders>
            <w:shd w:fill="auto" w:val="clear"/>
            <w:tcMar>
              <w:left w:w="20" w:type="dxa"/>
            </w:tcMar>
            <w:vAlign w:val="center"/>
          </w:tcPr>
          <w:p>
            <w:pPr>
              <w:pStyle w:val="TableContents"/>
              <w:spacing w:before="0" w:after="283"/>
              <w:jc w:val="center"/>
              <w:rPr/>
            </w:pPr>
            <w:r>
              <w:rPr>
                <w:rStyle w:val="StrongEmphasis"/>
              </w:rPr>
              <w:t>III. Стимулирование государственных и муниципальных служащих к предоставлению информации об известных им случаях коррупционных правонарушений, нарушений требований к служебному поведению, ситуациях конфликта интересов</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1.</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Закрепление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правонарушений[1];</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2.</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Разъяснение порядка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3.</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Доведение до сведения государственных (муниципальных) служащих, что они не только должны уведомлять представителя нанимателя (работодателя) об обращении к ним в целях склонения к совершению коррупционных правонарушений, но также могут предоставлять информацию обо всех ставших им известными фактах совершения коррупционных правонарушений вне зависимости от того, обращался ли к ним кто-то лично.</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4.</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tc>
      </w:tr>
      <w:tr>
        <w:trPr/>
        <w:tc>
          <w:tcPr>
            <w:tcW w:w="10205" w:type="dxa"/>
            <w:gridSpan w:val="2"/>
            <w:tcBorders>
              <w:left w:val="single" w:sz="6" w:space="0" w:color="808080"/>
              <w:bottom w:val="single" w:sz="2" w:space="0" w:color="808080"/>
              <w:right w:val="single" w:sz="6" w:space="0" w:color="808080"/>
              <w:insideH w:val="single" w:sz="2" w:space="0" w:color="808080"/>
              <w:insideV w:val="single" w:sz="6" w:space="0" w:color="808080"/>
            </w:tcBorders>
            <w:shd w:fill="auto" w:val="clear"/>
            <w:tcMar>
              <w:left w:w="20" w:type="dxa"/>
            </w:tcMar>
            <w:vAlign w:val="center"/>
          </w:tcPr>
          <w:p>
            <w:pPr>
              <w:pStyle w:val="TableContents"/>
              <w:jc w:val="center"/>
              <w:rPr/>
            </w:pPr>
            <w:r>
              <w:rPr>
                <w:rStyle w:val="StrongEmphasis"/>
              </w:rPr>
              <w:t xml:space="preserve">IV. Просвещение государственных и муниципальных служащих по антикорруцпионной тематике и методическое обеспечение профессиональной служебной деятельности государственных </w:t>
            </w:r>
          </w:p>
          <w:p>
            <w:pPr>
              <w:pStyle w:val="TableContents"/>
              <w:spacing w:before="0" w:after="283"/>
              <w:jc w:val="center"/>
              <w:rPr/>
            </w:pPr>
            <w:r>
              <w:rPr>
                <w:rStyle w:val="StrongEmphasis"/>
              </w:rPr>
              <w:t>и муниципальных служащих</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1.</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Разработка памяток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2.</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spacing w:before="0" w:after="283"/>
              <w:rPr/>
            </w:pPr>
            <w:r>
              <w:rPr/>
              <w:t>Организация в рамках проведения конкурсных процедур анкетирования, тестирования или иных методов оценки знания положений основ антикоррупционного законодательства.</w:t>
            </w:r>
          </w:p>
        </w:tc>
      </w:tr>
      <w:tr>
        <w:trPr/>
        <w:tc>
          <w:tcPr>
            <w:tcW w:w="227" w:type="dxa"/>
            <w:tcBorders>
              <w:left w:val="single" w:sz="6" w:space="0" w:color="808080"/>
              <w:bottom w:val="single" w:sz="2" w:space="0" w:color="808080"/>
              <w:insideH w:val="single" w:sz="2" w:space="0" w:color="808080"/>
            </w:tcBorders>
            <w:shd w:fill="auto" w:val="clear"/>
            <w:tcMar>
              <w:left w:w="20" w:type="dxa"/>
            </w:tcMar>
          </w:tcPr>
          <w:p>
            <w:pPr>
              <w:pStyle w:val="TableContents"/>
              <w:spacing w:before="0" w:after="283"/>
              <w:jc w:val="center"/>
              <w:rPr/>
            </w:pPr>
            <w:r>
              <w:rPr/>
              <w:t>3.</w:t>
            </w:r>
          </w:p>
        </w:tc>
        <w:tc>
          <w:tcPr>
            <w:tcW w:w="9978" w:type="dxa"/>
            <w:tcBorders>
              <w:left w:val="single" w:sz="2" w:space="0" w:color="808080"/>
              <w:bottom w:val="single" w:sz="2" w:space="0" w:color="808080"/>
              <w:right w:val="single" w:sz="6" w:space="0" w:color="808080"/>
              <w:insideH w:val="single" w:sz="2" w:space="0" w:color="808080"/>
              <w:insideV w:val="single" w:sz="6" w:space="0" w:color="808080"/>
            </w:tcBorders>
            <w:shd w:fill="auto" w:val="clear"/>
            <w:tcMar>
              <w:left w:w="27" w:type="dxa"/>
            </w:tcMar>
            <w:vAlign w:val="center"/>
          </w:tcPr>
          <w:p>
            <w:pPr>
              <w:pStyle w:val="TableContents"/>
              <w:rPr/>
            </w:pPr>
            <w:r>
              <w:rPr/>
              <w:t>Обеспечение организации различных видов учебных семинаров по вопросам противодействия коррупции:</w:t>
            </w:r>
          </w:p>
          <w:p>
            <w:pPr>
              <w:pStyle w:val="TableContents"/>
              <w:rPr/>
            </w:pPr>
            <w:r>
              <w:rPr/>
              <w:t>- вводного семинара для граждан, впервые поступивших на государственную (муниципальную) службу;</w:t>
            </w:r>
          </w:p>
          <w:p>
            <w:pPr>
              <w:pStyle w:val="TableContents"/>
              <w:rPr/>
            </w:pPr>
            <w:r>
              <w:rPr/>
              <w:t>- регулярных семинаров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w:t>
            </w:r>
          </w:p>
          <w:p>
            <w:pPr>
              <w:pStyle w:val="TableContents"/>
              <w:spacing w:before="0" w:after="283"/>
              <w:rPr/>
            </w:pPr>
            <w:r>
              <w:rPr/>
              <w:t>- специальных семинаров в случае существенных изменений законодательства в сфере противодействия коррупции, затрагивающих государственных (муниципальных) служащих.</w:t>
            </w:r>
          </w:p>
        </w:tc>
      </w:tr>
      <w:tr>
        <w:trPr/>
        <w:tc>
          <w:tcPr>
            <w:tcW w:w="227" w:type="dxa"/>
            <w:tcBorders>
              <w:left w:val="single" w:sz="6" w:space="0" w:color="808080"/>
              <w:bottom w:val="single" w:sz="6" w:space="0" w:color="808080"/>
              <w:insideH w:val="single" w:sz="6" w:space="0" w:color="808080"/>
            </w:tcBorders>
            <w:shd w:fill="auto" w:val="clear"/>
            <w:tcMar>
              <w:left w:w="20" w:type="dxa"/>
            </w:tcMar>
          </w:tcPr>
          <w:p>
            <w:pPr>
              <w:pStyle w:val="TableContents"/>
              <w:spacing w:before="0" w:after="283"/>
              <w:jc w:val="center"/>
              <w:rPr/>
            </w:pPr>
            <w:r>
              <w:rPr/>
              <w:t>4.</w:t>
            </w:r>
          </w:p>
        </w:tc>
        <w:tc>
          <w:tcPr>
            <w:tcW w:w="9978" w:type="dxa"/>
            <w:tcBorders>
              <w:left w:val="single" w:sz="2" w:space="0" w:color="808080"/>
              <w:bottom w:val="single" w:sz="6" w:space="0" w:color="808080"/>
              <w:right w:val="single" w:sz="6" w:space="0" w:color="808080"/>
              <w:insideH w:val="single" w:sz="6" w:space="0" w:color="808080"/>
              <w:insideV w:val="single" w:sz="6" w:space="0" w:color="808080"/>
            </w:tcBorders>
            <w:shd w:fill="auto" w:val="clear"/>
            <w:tcMar>
              <w:left w:w="27" w:type="dxa"/>
            </w:tcMar>
            <w:vAlign w:val="center"/>
          </w:tcPr>
          <w:p>
            <w:pPr>
              <w:pStyle w:val="TableContents"/>
              <w:spacing w:before="0" w:after="283"/>
              <w:rPr/>
            </w:pPr>
            <w:r>
              <w:rPr/>
              <w:t>Проведение регулярной работы по разъяснению исполнения требований антикоррупционного законодательства государственным (муниципальным) служащими, увольняющимися с государственной (муниципальной)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w:t>
            </w:r>
          </w:p>
        </w:tc>
      </w:tr>
    </w:tbl>
    <w:p>
      <w:pPr>
        <w:pStyle w:val="HorizontalLine"/>
        <w:pBdr>
          <w:bottom w:val="double" w:sz="2" w:space="0" w:color="808080"/>
        </w:pBdr>
        <w:rPr/>
      </w:pPr>
      <w:r>
        <w:rPr/>
      </w:r>
    </w:p>
    <w:p>
      <w:pPr>
        <w:pStyle w:val="TextBody"/>
        <w:spacing w:before="0" w:after="283"/>
        <w:rPr/>
      </w:pPr>
      <w:r>
        <w:rPr/>
        <w:t>[1]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разработаны Минздравсоцразвития России и письмом от 20 сентября 2010 г. № 7666-17 направлены в федеральные государственные органы для использования в работе.</w:t>
      </w:r>
    </w:p>
    <w:sectPr>
      <w:type w:val="nextPage"/>
      <w:pgSz w:w="11906" w:h="16838"/>
      <w:pgMar w:left="1134" w:right="567" w:header="0" w:top="567" w:footer="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orndale">
    <w:altName w:val="Times New Roman"/>
    <w:charset w:val="00"/>
    <w:family w:val="roman"/>
    <w:pitch w:val="variable"/>
  </w:font>
  <w:font w:name="OpenSymbol">
    <w:altName w:val="Arial Unicode MS"/>
    <w:charset w:val="02"/>
    <w:family w:val="auto"/>
    <w:pitch w:val="default"/>
  </w:font>
  <w:font w:name="Albany">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val="false"/>
    </w:pPr>
    <w:rPr>
      <w:rFonts w:ascii="Liberation Serif" w:hAnsi="Liberation Serif" w:eastAsia="DejaVu Sans" w:cs="DejaVu Sans"/>
      <w:color w:val="auto"/>
      <w:sz w:val="24"/>
      <w:szCs w:val="24"/>
      <w:lang w:val="en-US" w:eastAsia="zh-CN" w:bidi="hi-IN"/>
    </w:rPr>
  </w:style>
  <w:style w:type="paragraph" w:styleId="Heading1">
    <w:name w:val="Heading 1"/>
    <w:basedOn w:val="Heading"/>
    <w:next w:val="TextBody"/>
    <w:qFormat/>
    <w:pPr/>
    <w:rPr>
      <w:rFonts w:ascii="Thorndale" w:hAnsi="Thorndale"/>
      <w:b/>
      <w:bCs/>
      <w:sz w:val="48"/>
      <w:szCs w:val="44"/>
    </w:rPr>
  </w:style>
  <w:style w:type="paragraph" w:styleId="Heading2">
    <w:name w:val="Heading 2"/>
    <w:basedOn w:val="Heading"/>
    <w:next w:val="TextBody"/>
    <w:qFormat/>
    <w:pPr>
      <w:spacing w:before="200" w:after="120"/>
      <w:outlineLvl w:val="1"/>
    </w:pPr>
    <w:rPr>
      <w:rFonts w:ascii="Liberation Serif" w:hAnsi="Liberation Serif" w:eastAsia="DejaVu Sans" w:cs="DejaVu Sans"/>
      <w:b/>
      <w:bCs/>
      <w:sz w:val="36"/>
      <w:szCs w:val="36"/>
    </w:rPr>
  </w:style>
  <w:style w:type="character" w:styleId="EndnoteCharacters">
    <w:name w:val="Endnote Characters"/>
    <w:qFormat/>
    <w:rPr/>
  </w:style>
  <w:style w:type="character" w:styleId="FootnoteCharacters">
    <w:name w:val="Footnote Characters"/>
    <w:qFormat/>
    <w:rPr/>
  </w:style>
  <w:style w:type="character" w:styleId="InternetLink">
    <w:name w:val="Internet Link"/>
    <w:rPr>
      <w:color w:val="000080"/>
      <w:u w:val="single"/>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283"/>
    </w:pPr>
    <w:rPr>
      <w:rFonts w:ascii="Albany" w:hAnsi="Albany"/>
      <w:sz w:val="28"/>
      <w:szCs w:val="26"/>
    </w:rPr>
  </w:style>
  <w:style w:type="paragraph" w:styleId="TextBody">
    <w:name w:val="Body Text"/>
    <w:basedOn w:val="Normal"/>
    <w:pPr>
      <w:spacing w:before="0" w:after="283"/>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pBdr>
        <w:bottom w:val="double" w:sz="2" w:space="0" w:color="808080"/>
      </w:pBdr>
      <w:spacing w:before="0" w:after="283"/>
    </w:pPr>
    <w:rPr>
      <w:sz w:val="12"/>
    </w:rPr>
  </w:style>
  <w:style w:type="paragraph" w:styleId="Sender">
    <w:name w:val="Envelope Return"/>
    <w:basedOn w:val="Normal"/>
    <w:pPr/>
    <w:rPr>
      <w:i/>
    </w:rPr>
  </w:style>
  <w:style w:type="paragraph" w:styleId="TableContents">
    <w:name w:val="Table Contents"/>
    <w:basedOn w:val="TextBody"/>
    <w:qFormat/>
    <w:pPr/>
    <w:rPr/>
  </w:style>
  <w:style w:type="paragraph" w:styleId="Footer">
    <w:name w:val="Footer"/>
    <w:basedOn w:val="Normal"/>
    <w:pPr>
      <w:suppressLineNumbers/>
      <w:tabs>
        <w:tab w:val="center" w:pos="4818" w:leader="none"/>
        <w:tab w:val="right" w:pos="9637" w:leader="none"/>
      </w:tabs>
    </w:pPr>
    <w:rPr/>
  </w:style>
  <w:style w:type="paragraph" w:styleId="Header">
    <w:name w:val="Header"/>
    <w:basedOn w:val="Normal"/>
    <w:pPr>
      <w:suppressLineNumbers/>
      <w:tabs>
        <w:tab w:val="center" w:pos="4818" w:leader="none"/>
        <w:tab w:val="right" w:pos="9637" w:leader="none"/>
      </w:tab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LibreOffice/5.3.7.2$Linux_X86_64 LibreOffice_project/6b8ed514a9f8b44d37a1b96673cbbdd077e24059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